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ZMLUVA O ZRIADENÍ VECNÉHO BREMENA</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uzavretá podľa § 151n a nasl. zákona č. 40/1964 Zb. Občiansky zákonník v znení neskorších predpisov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Zmluvné strany</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Povinný z vecného bremena:</w:t>
      </w:r>
    </w:p>
    <w:p>
      <w:pPr>
        <w:keepNext w:val="false"/>
        <w:keepLines w:val="false"/>
        <w:spacing w:after="120" w:before="0" w:line="276"/>
        <w:ind w:left="567"/>
        <w:jc w:val="both"/>
      </w:pPr>
      <w:r>
        <w:rPr>
          <w:rFonts w:ascii="Times New Roman" w:cs="Times New Roman" w:eastAsia="Times New Roman" w:hAnsi="Times New Roman"/>
          <w:b/>
          <w:bCs/>
          <w:i w:val="false"/>
          <w:iCs w:val="false"/>
          <w:sz w:val="24"/>
          <w:szCs w:val="24"/>
        </w:rPr>
        <w:t xml:space="preserve">Ján Novák</w:t>
      </w:r>
      <w:r>
        <w:rPr>
          <w:rFonts w:ascii="Times New Roman" w:cs="Times New Roman" w:eastAsia="Times New Roman" w:hAnsi="Times New Roman"/>
          <w:b w:val="false"/>
          <w:bCs w:val="false"/>
          <w:i w:val="false"/>
          <w:iCs w:val="false"/>
          <w:sz w:val="24"/>
          <w:szCs w:val="24"/>
        </w:rPr>
        <w:t xml:space="preserve">, rodné priezvisko </w:t>
      </w:r>
      <w:r>
        <w:rPr>
          <w:rFonts w:ascii="Times New Roman" w:cs="Times New Roman" w:eastAsia="Times New Roman" w:hAnsi="Times New Roman"/>
          <w:b w:val="false"/>
          <w:bCs w:val="false"/>
          <w:i w:val="false"/>
          <w:iCs w:val="false"/>
          <w:sz w:val="24"/>
          <w:szCs w:val="24"/>
        </w:rPr>
        <w:t xml:space="preserve">Novák</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rPr>
        <w:t xml:space="preserve">12. 3. 1980</w:t>
      </w:r>
      <w:r>
        <w:rPr>
          <w:rFonts w:ascii="Times New Roman" w:cs="Times New Roman" w:eastAsia="Times New Roman" w:hAnsi="Times New Roman"/>
          <w:b w:val="false"/>
          <w:bCs w:val="false"/>
          <w:i w:val="false"/>
          <w:iCs w:val="false"/>
          <w:sz w:val="24"/>
          <w:szCs w:val="24"/>
        </w:rPr>
        <w:t xml:space="preserve">, rodné číslo </w:t>
      </w:r>
      <w:r>
        <w:rPr>
          <w:rFonts w:ascii="Times New Roman" w:cs="Times New Roman" w:eastAsia="Times New Roman" w:hAnsi="Times New Roman"/>
          <w:b w:val="false"/>
          <w:bCs w:val="false"/>
          <w:i w:val="false"/>
          <w:iCs w:val="false"/>
          <w:sz w:val="24"/>
          <w:szCs w:val="24"/>
        </w:rPr>
        <w:t xml:space="preserve">8003121005</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rPr>
        <w:t xml:space="preserve">Modelová 1, 811 01 Bratislava</w:t>
      </w:r>
      <w:r>
        <w:rPr>
          <w:rFonts w:ascii="Times New Roman" w:cs="Times New Roman" w:eastAsia="Times New Roman" w:hAnsi="Times New Roman"/>
          <w:b w:val="false"/>
          <w:bCs w:val="false"/>
          <w:i w:val="false"/>
          <w:iCs w:val="false"/>
          <w:sz w:val="24"/>
          <w:szCs w:val="24"/>
        </w:rPr>
        <w:t xml:space="preserve">, štátne občianstvo </w:t>
      </w:r>
      <w:r>
        <w:rPr>
          <w:rFonts w:ascii="Times New Roman" w:cs="Times New Roman" w:eastAsia="Times New Roman" w:hAnsi="Times New Roman"/>
          <w:b w:val="false"/>
          <w:bCs w:val="false"/>
          <w:i w:val="false"/>
          <w:iCs w:val="false"/>
          <w:sz w:val="24"/>
          <w:szCs w:val="24"/>
        </w:rPr>
        <w:t xml:space="preserve">SR</w:t>
      </w:r>
      <w:r>
        <w:rPr>
          <w:rFonts w:ascii="Times New Roman" w:cs="Times New Roman" w:eastAsia="Times New Roman" w:hAnsi="Times New Roman"/>
          <w:b w:val="false"/>
          <w:bCs w:val="false"/>
          <w:i w:val="false"/>
          <w:iCs w:val="false"/>
          <w:sz w:val="24"/>
          <w:szCs w:val="24"/>
        </w:rPr>
        <w:t xml:space="preserve">, spoluvlastnícky podiel </w:t>
      </w:r>
      <w:r>
        <w:rPr>
          <w:rFonts w:ascii="Times New Roman" w:cs="Times New Roman" w:eastAsia="Times New Roman" w:hAnsi="Times New Roman"/>
          <w:b w:val="false"/>
          <w:bCs w:val="false"/>
          <w:i w:val="false"/>
          <w:iCs w:val="false"/>
          <w:sz w:val="24"/>
          <w:szCs w:val="24"/>
        </w:rPr>
        <w:t xml:space="preserve">1/1</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„povinný“)</w:t>
      </w:r>
    </w:p>
    <w:p>
      <w:pPr>
        <w:keepNext w:val="false"/>
        <w:keepLines w:val="false"/>
        <w:spacing w:after="120" w:before="0" w:line="276"/>
        <w:jc w:val="center"/>
      </w:pPr>
      <w:r>
        <w:rPr>
          <w:rFonts w:ascii="Times New Roman" w:cs="Times New Roman" w:eastAsia="Times New Roman" w:hAnsi="Times New Roman"/>
          <w:b w:val="false"/>
          <w:bCs w:val="false"/>
          <w:i w:val="false"/>
          <w:iCs w:val="false"/>
          <w:sz w:val="24"/>
          <w:szCs w:val="24"/>
        </w:rPr>
        <w:t xml:space="preserve">a</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Oprávnený z vecného bremena:</w:t>
      </w:r>
    </w:p>
    <w:p>
      <w:pPr>
        <w:keepNext w:val="false"/>
        <w:keepLines w:val="false"/>
        <w:spacing w:after="120" w:before="0" w:line="276"/>
        <w:ind w:left="567"/>
        <w:jc w:val="both"/>
      </w:pPr>
      <w:r>
        <w:rPr>
          <w:rFonts w:ascii="Times New Roman" w:cs="Times New Roman" w:eastAsia="Times New Roman" w:hAnsi="Times New Roman"/>
          <w:b/>
          <w:bCs/>
          <w:i w:val="false"/>
          <w:iCs w:val="false"/>
          <w:sz w:val="24"/>
          <w:szCs w:val="24"/>
        </w:rPr>
        <w:t xml:space="preserve">Peter Kováč</w:t>
      </w:r>
      <w:r>
        <w:rPr>
          <w:rFonts w:ascii="Times New Roman" w:cs="Times New Roman" w:eastAsia="Times New Roman" w:hAnsi="Times New Roman"/>
          <w:b w:val="false"/>
          <w:bCs w:val="false"/>
          <w:i w:val="false"/>
          <w:iCs w:val="false"/>
          <w:sz w:val="24"/>
          <w:szCs w:val="24"/>
        </w:rPr>
        <w:t xml:space="preserve">, rodné priezvisko </w:t>
      </w:r>
      <w:r>
        <w:rPr>
          <w:rFonts w:ascii="Times New Roman" w:cs="Times New Roman" w:eastAsia="Times New Roman" w:hAnsi="Times New Roman"/>
          <w:b w:val="false"/>
          <w:bCs w:val="false"/>
          <w:i w:val="false"/>
          <w:iCs w:val="false"/>
          <w:sz w:val="24"/>
          <w:szCs w:val="24"/>
        </w:rPr>
        <w:t xml:space="preserve">Kováč</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rPr>
        <w:t xml:space="preserve">12. 3. 1982</w:t>
      </w:r>
      <w:r>
        <w:rPr>
          <w:rFonts w:ascii="Times New Roman" w:cs="Times New Roman" w:eastAsia="Times New Roman" w:hAnsi="Times New Roman"/>
          <w:b w:val="false"/>
          <w:bCs w:val="false"/>
          <w:i w:val="false"/>
          <w:iCs w:val="false"/>
          <w:sz w:val="24"/>
          <w:szCs w:val="24"/>
        </w:rPr>
        <w:t xml:space="preserve">, rodné číslo </w:t>
      </w:r>
      <w:r>
        <w:rPr>
          <w:rFonts w:ascii="Times New Roman" w:cs="Times New Roman" w:eastAsia="Times New Roman" w:hAnsi="Times New Roman"/>
          <w:b w:val="false"/>
          <w:bCs w:val="false"/>
          <w:i w:val="false"/>
          <w:iCs w:val="false"/>
          <w:sz w:val="24"/>
          <w:szCs w:val="24"/>
        </w:rPr>
        <w:t xml:space="preserve">8203121003</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rPr>
        <w:t xml:space="preserve">Modelová 2, 811 01 Bratislava</w:t>
      </w:r>
      <w:r>
        <w:rPr>
          <w:rFonts w:ascii="Times New Roman" w:cs="Times New Roman" w:eastAsia="Times New Roman" w:hAnsi="Times New Roman"/>
          <w:b w:val="false"/>
          <w:bCs w:val="false"/>
          <w:i w:val="false"/>
          <w:iCs w:val="false"/>
          <w:sz w:val="24"/>
          <w:szCs w:val="24"/>
        </w:rPr>
        <w:t xml:space="preserve">, štátne občianstvo </w:t>
      </w:r>
      <w:r>
        <w:rPr>
          <w:rFonts w:ascii="Times New Roman" w:cs="Times New Roman" w:eastAsia="Times New Roman" w:hAnsi="Times New Roman"/>
          <w:b w:val="false"/>
          <w:bCs w:val="false"/>
          <w:i w:val="false"/>
          <w:iCs w:val="false"/>
          <w:sz w:val="24"/>
          <w:szCs w:val="24"/>
        </w:rPr>
        <w:t xml:space="preserve">SR</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„oprávnený“)</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(povinný a oprávnený ďalej spolu aj ako „zmluvné strany“)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Zaťažená nehnuteľnosť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Povinný je vlastníkom týchto nehnuteľností v katastrálnom území </w:t>
      </w:r>
      <w:r>
        <w:rPr>
          <w:rFonts w:ascii="Times New Roman" w:cs="Times New Roman" w:eastAsia="Times New Roman" w:hAnsi="Times New Roman"/>
          <w:b w:val="false"/>
          <w:bCs w:val="false"/>
          <w:i w:val="false"/>
          <w:iCs w:val="false"/>
          <w:sz w:val="24"/>
          <w:szCs w:val="24"/>
        </w:rPr>
        <w:t xml:space="preserve">Lužianky</w:t>
      </w:r>
      <w:r>
        <w:rPr>
          <w:rFonts w:ascii="Times New Roman" w:cs="Times New Roman" w:eastAsia="Times New Roman" w:hAnsi="Times New Roman"/>
          <w:b w:val="false"/>
          <w:bCs w:val="false"/>
          <w:i w:val="false"/>
          <w:iCs w:val="false"/>
          <w:sz w:val="24"/>
          <w:szCs w:val="24"/>
        </w:rPr>
        <w:t xml:space="preserve">, obec </w:t>
      </w:r>
      <w:r>
        <w:rPr>
          <w:rFonts w:ascii="Times New Roman" w:cs="Times New Roman" w:eastAsia="Times New Roman" w:hAnsi="Times New Roman"/>
          <w:b w:val="false"/>
          <w:bCs w:val="false"/>
          <w:i w:val="false"/>
          <w:iCs w:val="false"/>
          <w:sz w:val="24"/>
          <w:szCs w:val="24"/>
        </w:rPr>
        <w:t xml:space="preserve">Lužianky</w:t>
      </w:r>
      <w:r>
        <w:rPr>
          <w:rFonts w:ascii="Times New Roman" w:cs="Times New Roman" w:eastAsia="Times New Roman" w:hAnsi="Times New Roman"/>
          <w:b w:val="false"/>
          <w:bCs w:val="false"/>
          <w:i w:val="false"/>
          <w:iCs w:val="false"/>
          <w:sz w:val="24"/>
          <w:szCs w:val="24"/>
        </w:rPr>
        <w:t xml:space="preserve">, okres </w:t>
      </w:r>
      <w:r>
        <w:rPr>
          <w:rFonts w:ascii="Times New Roman" w:cs="Times New Roman" w:eastAsia="Times New Roman" w:hAnsi="Times New Roman"/>
          <w:b w:val="false"/>
          <w:bCs w:val="false"/>
          <w:i w:val="false"/>
          <w:iCs w:val="false"/>
          <w:sz w:val="24"/>
          <w:szCs w:val="24"/>
        </w:rPr>
        <w:t xml:space="preserve">Nitra</w:t>
      </w:r>
      <w:r>
        <w:rPr>
          <w:rFonts w:ascii="Times New Roman" w:cs="Times New Roman" w:eastAsia="Times New Roman" w:hAnsi="Times New Roman"/>
          <w:b w:val="false"/>
          <w:bCs w:val="false"/>
          <w:i w:val="false"/>
          <w:iCs w:val="false"/>
          <w:sz w:val="24"/>
          <w:szCs w:val="24"/>
        </w:rPr>
        <w:t xml:space="preserve">, zapísaných na liste vlastníctva č. </w:t>
      </w:r>
      <w:r>
        <w:rPr>
          <w:rFonts w:ascii="Times New Roman" w:cs="Times New Roman" w:eastAsia="Times New Roman" w:hAnsi="Times New Roman"/>
          <w:b w:val="false"/>
          <w:bCs w:val="false"/>
          <w:i w:val="false"/>
          <w:iCs w:val="false"/>
          <w:sz w:val="24"/>
          <w:szCs w:val="24"/>
        </w:rPr>
        <w:t xml:space="preserve">842</w:t>
      </w:r>
      <w:r>
        <w:rPr>
          <w:rFonts w:ascii="Times New Roman" w:cs="Times New Roman" w:eastAsia="Times New Roman" w:hAnsi="Times New Roman"/>
          <w:b w:val="false"/>
          <w:bCs w:val="false"/>
          <w:i w:val="false"/>
          <w:iCs w:val="false"/>
          <w:sz w:val="24"/>
          <w:szCs w:val="24"/>
        </w:rPr>
        <w:t xml:space="preserve"> vedenom Okresným úradom </w:t>
      </w:r>
      <w:r>
        <w:rPr>
          <w:rFonts w:ascii="Times New Roman" w:cs="Times New Roman" w:eastAsia="Times New Roman" w:hAnsi="Times New Roman"/>
          <w:b w:val="false"/>
          <w:bCs w:val="false"/>
          <w:i w:val="false"/>
          <w:iCs w:val="false"/>
          <w:sz w:val="24"/>
          <w:szCs w:val="24"/>
        </w:rPr>
        <w:t xml:space="preserve">Nitra</w:t>
      </w:r>
      <w:r>
        <w:rPr>
          <w:rFonts w:ascii="Times New Roman" w:cs="Times New Roman" w:eastAsia="Times New Roman" w:hAnsi="Times New Roman"/>
          <w:b w:val="false"/>
          <w:bCs w:val="false"/>
          <w:i w:val="false"/>
          <w:iCs w:val="false"/>
          <w:sz w:val="24"/>
          <w:szCs w:val="24"/>
        </w:rPr>
        <w:t xml:space="preserve">, katastrálnym odborom:</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pozemok registra „C“ parc. č. 1234/1, druh pozemku záhrada, výmera 850 m²</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„zaťažená nehnuteľnosť“).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Vecné bremeno sa zriaďuje na celú zaťaženú nehnuteľnosť.</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Oprávnený a povaha vecného bremena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Vecné bremeno sa zriaďuje v prospech každého vlastníka tejto nehnuteľnosti: </w:t>
      </w:r>
      <w:r>
        <w:rPr>
          <w:rFonts w:ascii="Times New Roman" w:cs="Times New Roman" w:eastAsia="Times New Roman" w:hAnsi="Times New Roman"/>
          <w:b w:val="false"/>
          <w:bCs w:val="false"/>
          <w:i w:val="false"/>
          <w:iCs w:val="false"/>
          <w:sz w:val="24"/>
          <w:szCs w:val="24"/>
        </w:rPr>
        <w:t xml:space="preserve">pozemok registra „C“ parc. č. 1235/4 a rodinný dom súpisné číslo 88 na ňom postavený, katastrálne územie Lužianky, list vlastníctva č. 1190</w:t>
      </w:r>
      <w:r>
        <w:rPr>
          <w:rFonts w:ascii="Times New Roman" w:cs="Times New Roman" w:eastAsia="Times New Roman" w:hAnsi="Times New Roman"/>
          <w:b w:val="false"/>
          <w:bCs w:val="false"/>
          <w:i w:val="false"/>
          <w:iCs w:val="false"/>
          <w:sz w:val="24"/>
          <w:szCs w:val="24"/>
        </w:rPr>
        <w:t xml:space="preserve"> (ďalej len „panujúca nehnuteľnosť“). Oprávnený vyhlasuje, že je jej vlastníkom. Právo zodpovedajúce vecnému bremenu je spojené s vlastníctvom panujúcej nehnuteľnosti a s ním prechádza na každého ďalšieho nadobúdateľa (§ 151n ods. 1 a 2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Vecné bremeno viazne na zaťaženej nehnuteľnosti a je povinný strpieť ho aj každý ďalší vlastník zaťaženej nehnuteľnosti.</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Obsah vecného bremena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Povinný zriaďuje v prospech oprávneného vecné bremeno spočívajúce v práve prechodu pešo a prejazdu motorovými vozidlami a inými dopravnými prostriedkami cez zaťaženú nehnuteľnosť. Povinný je povinný výkon tohto práva strpieť a zdržať sa všetkého, čím by ho sťažoval, najmä umiestňovania prekážok.</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Zmluvné strany ďalej dohodli: </w:t>
      </w:r>
      <w:r>
        <w:rPr>
          <w:rFonts w:ascii="Times New Roman" w:cs="Times New Roman" w:eastAsia="Times New Roman" w:hAnsi="Times New Roman"/>
          <w:b w:val="false"/>
          <w:bCs w:val="false"/>
          <w:i w:val="false"/>
          <w:iCs w:val="false"/>
          <w:sz w:val="24"/>
          <w:szCs w:val="24"/>
        </w:rPr>
        <w:t xml:space="preserve">Prechod a prejazd je možný len po existujúcej spevnenej ceste.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Oprávnený právo zodpovedajúce vecnému bremenu prijíma.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Trvanie a odplata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Vecné bremeno sa zriaďuje na dobu neurčitú.</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Vecné bremeno sa zriaďuje bezodplatne.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Práva a povinnosti zmluvných strán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Oprávnený je povinný vykonávať svoje právo šetrne, tak aby čo najmenej obmedzoval povinného pri užívaní zaťaženej nehnuteľnosti. Po každom zásahu do zaťaženej nehnuteľnosti, najmä po výkopových prácach, ju oprávnený bez zbytočného odkladu na vlastné náklady uvedie do predošlého stavu. Za škodu spôsobenú výkonom svojho práva zodpovedá oprávnený podľa všeobecných predpisov.</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Náklady na zriadenie, údržbu a opravy zariadení a úprav, ktoré oprávnený na zaťaženej nehnuteľnosti zriadi alebo výlučne užíva, znáša oprávnený. Ostatné náklady na zaťaženú nehnuteľnosť znáša povinný.</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Povinný vyhlasuje, že je oprávnený so zaťaženou nehnuteľnosťou nakladať a že mu nie sú známe práva tretích osôb, ktoré by bránili zriadeniu vecného bremena.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Vznik a zánik vecného bremena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Právo zodpovedajúce vecnému bremenu vzniká vkladom do katastra nehnuteľností (§ 151o ods. 1 Občianskeho zákonníka) na základe právoplatného rozhodnutia okresného úradu o povolení vkladu (§ 28 ods. 3 zákona č. 162/1995 Z. z. o katastri nehnuteľností a o zápise vlastníckych a iných práv k nehnuteľnostiam v znení neskorších predpisov, ďalej len „katastrálny zákon“).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Návrh na začatie konania o povolení vkladu podá </w:t>
      </w:r>
      <w:r>
        <w:rPr>
          <w:rFonts w:ascii="Times New Roman" w:cs="Times New Roman" w:eastAsia="Times New Roman" w:hAnsi="Times New Roman"/>
          <w:b w:val="false"/>
          <w:bCs w:val="false"/>
          <w:i w:val="false"/>
          <w:iCs w:val="false"/>
          <w:sz w:val="24"/>
          <w:szCs w:val="24"/>
        </w:rPr>
        <w:t xml:space="preserve">oprávnený</w:t>
      </w:r>
      <w:r>
        <w:rPr>
          <w:rFonts w:ascii="Times New Roman" w:cs="Times New Roman" w:eastAsia="Times New Roman" w:hAnsi="Times New Roman"/>
          <w:b w:val="false"/>
          <w:bCs w:val="false"/>
          <w:i w:val="false"/>
          <w:iCs w:val="false"/>
          <w:sz w:val="24"/>
          <w:szCs w:val="24"/>
        </w:rPr>
        <w:t xml:space="preserve"> na Okresný úrad </w:t>
      </w:r>
      <w:r>
        <w:rPr>
          <w:rFonts w:ascii="Times New Roman" w:cs="Times New Roman" w:eastAsia="Times New Roman" w:hAnsi="Times New Roman"/>
          <w:b w:val="false"/>
          <w:bCs w:val="false"/>
          <w:i w:val="false"/>
          <w:iCs w:val="false"/>
          <w:sz w:val="24"/>
          <w:szCs w:val="24"/>
        </w:rPr>
        <w:t xml:space="preserve">Nitra</w:t>
      </w:r>
      <w:r>
        <w:rPr>
          <w:rFonts w:ascii="Times New Roman" w:cs="Times New Roman" w:eastAsia="Times New Roman" w:hAnsi="Times New Roman"/>
          <w:b w:val="false"/>
          <w:bCs w:val="false"/>
          <w:i w:val="false"/>
          <w:iCs w:val="false"/>
          <w:sz w:val="24"/>
          <w:szCs w:val="24"/>
        </w:rPr>
        <w:t xml:space="preserve">, katastrálny odbor, do </w:t>
      </w:r>
      <w:r>
        <w:rPr>
          <w:rFonts w:ascii="Times New Roman" w:cs="Times New Roman" w:eastAsia="Times New Roman" w:hAnsi="Times New Roman"/>
          <w:b w:val="false"/>
          <w:bCs w:val="false"/>
          <w:i w:val="false"/>
          <w:iCs w:val="false"/>
          <w:sz w:val="24"/>
          <w:szCs w:val="24"/>
        </w:rPr>
        <w:t xml:space="preserve">30</w:t>
      </w:r>
      <w:r>
        <w:rPr>
          <w:rFonts w:ascii="Times New Roman" w:cs="Times New Roman" w:eastAsia="Times New Roman" w:hAnsi="Times New Roman"/>
          <w:b w:val="false"/>
          <w:bCs w:val="false"/>
          <w:i w:val="false"/>
          <w:iCs w:val="false"/>
          <w:sz w:val="24"/>
          <w:szCs w:val="24"/>
        </w:rPr>
        <w:t xml:space="preserve"> dní odo dňa podpisu tejto zmluvy všetkými zmluvnými stranami. Správny poplatok za návrh na vklad zaplatí </w:t>
      </w:r>
      <w:r>
        <w:rPr>
          <w:rFonts w:ascii="Times New Roman" w:cs="Times New Roman" w:eastAsia="Times New Roman" w:hAnsi="Times New Roman"/>
          <w:b w:val="false"/>
          <w:bCs w:val="false"/>
          <w:i w:val="false"/>
          <w:iCs w:val="false"/>
          <w:sz w:val="24"/>
          <w:szCs w:val="24"/>
        </w:rPr>
        <w:t xml:space="preserve">oprávnený</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Zmluvné strany sa zaväzujú poskytnúť si potrebnú súčinnosť v konaní o povolení vkladu. Chyby v písaní, počítaní a iné zrejmé nesprávnosti opravia dodatkom k tejto zmluve (§ 42 ods. 4 katastrálneho zákona).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Vecné bremeno zaniká z dôvodov ustanovených zákonom (§ 151p Občianskeho zákonníka). Na zánik práva zodpovedajúceho vecnému bremenu dohodou zmluvných strán je potrebný vklad do katastra nehnuteľností.</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Záverečné ustanovenia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Táto zmluva nadobúda platnosť a účinnosť dňom jej podpisu všetkými zmluvnými stranami. Právne vzťahy ňou neupravené sa riadia Občianskym zákonníkom a katastrálnym zákonom.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Zmluva je vyhotovená v </w:t>
      </w:r>
      <w:r>
        <w:rPr>
          <w:rFonts w:ascii="Times New Roman" w:cs="Times New Roman" w:eastAsia="Times New Roman" w:hAnsi="Times New Roman"/>
          <w:b w:val="false"/>
          <w:bCs w:val="false"/>
          <w:i w:val="false"/>
          <w:iCs w:val="false"/>
          <w:sz w:val="24"/>
          <w:szCs w:val="24"/>
        </w:rPr>
        <w:t xml:space="preserve">4</w:t>
      </w:r>
      <w:r>
        <w:rPr>
          <w:rFonts w:ascii="Times New Roman" w:cs="Times New Roman" w:eastAsia="Times New Roman" w:hAnsi="Times New Roman"/>
          <w:b w:val="false"/>
          <w:bCs w:val="false"/>
          <w:i w:val="false"/>
          <w:iCs w:val="false"/>
          <w:sz w:val="24"/>
          <w:szCs w:val="24"/>
        </w:rPr>
        <w:t xml:space="preserve"> rovnopisoch, z ktorých dva sú určené pre okresný úrad na konanie o povolení vkladu a ostatné dostanú zmluvné strany.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Zmluvné strany vyhlasujú, že zmluvu uzatvárajú slobodne a vážne, nie v tiesni ani za nápadne nevýhodných podmienok, zmluvu si prečítali, jej obsahu porozumeli a na znak súhlasu ju podpisujú.</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Povinný</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Ján Novák</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0"/>
                <w:szCs w:val="20"/>
              </w:rPr>
              <w:t xml:space="preserve">(úradne osvedčený podpis)</w:t>
            </w: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Oprávnený</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Peter Kováč</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0"/>
      </w:tabs>
      <w:spacing w:after="0" w:before="0" w:line="220"/>
      <w:jc w:val="left"/>
    </w:pPr>
    <w:r>
      <w:rPr>
        <w:rFonts w:ascii="Times New Roman" w:cs="Times New Roman" w:eastAsia="Times New Roman" w:hAnsi="Times New Roman"/>
        <w:color w:val="666666"/>
        <w:sz w:val="18"/>
        <w:szCs w:val="18"/>
      </w:rPr>
      <w:t xml:space="preserve">Ďalšie právne vzory a tlačivá nájdete na </w:t>
    </w:r>
    <w:hyperlink w:history="1" r:id="rIdolsyukmdfvol_rbkm_qr8">
      <w:r>
        <w:rPr>
          <w:rFonts w:ascii="Times New Roman" w:cs="Times New Roman" w:eastAsia="Times New Roman" w:hAnsi="Times New Roman"/>
          <w:b/>
          <w:bCs/>
          <w:color w:val="666666"/>
          <w:sz w:val="18"/>
          <w:szCs w:val="18"/>
        </w:rPr>
        <w:t xml:space="preserve">pravnevzory.sk</w:t>
      </w:r>
    </w:hyperlink>
    <w:r>
      <w:rPr>
        <w:rFonts w:ascii="Times New Roman" w:cs="Times New Roman" w:eastAsia="Times New Roman" w:hAnsi="Times New Roman"/>
        <w:color w:val="666666"/>
        <w:sz w:val="18"/>
        <w:szCs w:val="18"/>
      </w:rPr>
      <w:tab/>
    </w: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lsyukmdfvol_rbkm_qr8" Type="http://schemas.openxmlformats.org/officeDocument/2006/relationships/hyperlink" Target="https://pravnevzory.sk/?utm_source=document&amp;utm_medium=docx&amp;utm_campaign=template_footer&amp;utm_content=zmluva-o-zriadeni-vecneho-bremena"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Zmluva o zriadení vecného bremena</dc:title>
  <dc:creator>Vzory a tlačivá (pravnevzory.sk)</dc:creator>
  <dc:description>Zmluva o zriadení vecného bremena</dc:description>
  <cp:lastModifiedBy>Un-named</cp:lastModifiedBy>
  <cp:revision>1</cp:revision>
  <dcterms:created xsi:type="dcterms:W3CDTF">2026-10-05T17:20:41.685Z</dcterms:created>
  <dcterms:modified xsi:type="dcterms:W3CDTF">2026-10-05T17:20:41.685Z</dcterms:modified>
</cp:coreProperties>
</file>

<file path=docProps/custom.xml><?xml version="1.0" encoding="utf-8"?>
<Properties xmlns="http://schemas.openxmlformats.org/officeDocument/2006/custom-properties" xmlns:vt="http://schemas.openxmlformats.org/officeDocument/2006/docPropsVTypes"/>
</file>