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SPOLOČENSKÁ ZMLUVA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o založení spoločnosti s ručením obmedzeným uzavretá podľa § 57 a § 105 a nasl. zákona č. 513/1991 Zb. Obchodný zákonník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Spoločníci</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1. </w:t>
      </w:r>
      <w:r>
        <w:rPr>
          <w:rFonts w:ascii="Times New Roman" w:cs="Times New Roman" w:eastAsia="Times New Roman" w:hAnsi="Times New Roman"/>
          <w:b/>
          <w:bCs/>
          <w:i w:val="false"/>
          <w:iCs w:val="false"/>
          <w:sz w:val="24"/>
          <w:szCs w:val="24"/>
        </w:rPr>
        <w:t xml:space="preserve">Ján Novák</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rPr>
        <w:t xml:space="preserve">12. 3. 1980</w:t>
      </w:r>
      <w:r>
        <w:rPr>
          <w:rFonts w:ascii="Times New Roman" w:cs="Times New Roman" w:eastAsia="Times New Roman" w:hAnsi="Times New Roman"/>
          <w:b w:val="false"/>
          <w:bCs w:val="false"/>
          <w:i w:val="false"/>
          <w:iCs w:val="false"/>
          <w:sz w:val="24"/>
          <w:szCs w:val="24"/>
        </w:rPr>
        <w:t xml:space="preserve">, rodné číslo: </w:t>
      </w:r>
      <w:r>
        <w:rPr>
          <w:rFonts w:ascii="Times New Roman" w:cs="Times New Roman" w:eastAsia="Times New Roman" w:hAnsi="Times New Roman"/>
          <w:b w:val="false"/>
          <w:bCs w:val="false"/>
          <w:i w:val="false"/>
          <w:iCs w:val="false"/>
          <w:sz w:val="24"/>
          <w:szCs w:val="24"/>
        </w:rPr>
        <w:t xml:space="preserve">8003121005</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rPr>
        <w:t xml:space="preserve">Modelová 1, 811 01 Bratislava</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2. </w:t>
      </w:r>
      <w:r>
        <w:rPr>
          <w:rFonts w:ascii="Times New Roman" w:cs="Times New Roman" w:eastAsia="Times New Roman" w:hAnsi="Times New Roman"/>
          <w:b/>
          <w:bCs/>
          <w:i w:val="false"/>
          <w:iCs w:val="false"/>
          <w:sz w:val="24"/>
          <w:szCs w:val="24"/>
        </w:rPr>
        <w:t xml:space="preserve">Peter Kováč</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rPr>
        <w:t xml:space="preserve">12. 3. 1982</w:t>
      </w:r>
      <w:r>
        <w:rPr>
          <w:rFonts w:ascii="Times New Roman" w:cs="Times New Roman" w:eastAsia="Times New Roman" w:hAnsi="Times New Roman"/>
          <w:b w:val="false"/>
          <w:bCs w:val="false"/>
          <w:i w:val="false"/>
          <w:iCs w:val="false"/>
          <w:sz w:val="24"/>
          <w:szCs w:val="24"/>
        </w:rPr>
        <w:t xml:space="preserve">, rodné číslo: </w:t>
      </w:r>
      <w:r>
        <w:rPr>
          <w:rFonts w:ascii="Times New Roman" w:cs="Times New Roman" w:eastAsia="Times New Roman" w:hAnsi="Times New Roman"/>
          <w:b w:val="false"/>
          <w:bCs w:val="false"/>
          <w:i w:val="false"/>
          <w:iCs w:val="false"/>
          <w:sz w:val="24"/>
          <w:szCs w:val="24"/>
        </w:rPr>
        <w:t xml:space="preserve">8203121003</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rPr>
        <w:t xml:space="preserve">Modelová 2, 811 01 Bratislava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spolu len „spoločníci“ a každý z nich jednotlivo „spoločník“)</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Založenie spoločnosti, obchodné meno, sídlo a doba trvania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Spoločníci touto zmluvou zakladajú spoločnosť s ručením obmedzeným (ďalej len „spoločnosť“).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Každý spoločník vyhlasuje, že nie je osobou, ktorá by podľa § 105b Obchodného zákonníka nemohla založiť spoločnosť s ručením obmedzeným, prípadne že mu na založenie spoločnosti udelil súhlas príslušný správca dane.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Obchodné meno spoločnosti: </w:t>
      </w:r>
      <w:r>
        <w:rPr>
          <w:rFonts w:ascii="Times New Roman" w:cs="Times New Roman" w:eastAsia="Times New Roman" w:hAnsi="Times New Roman"/>
          <w:b/>
          <w:bCs/>
          <w:i w:val="false"/>
          <w:iCs w:val="false"/>
          <w:sz w:val="24"/>
          <w:szCs w:val="24"/>
        </w:rPr>
        <w:t xml:space="preserve">Modelová spoločnosť 1, s. r. 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Sídlo spoločnosti: </w:t>
      </w:r>
      <w:r>
        <w:rPr>
          <w:rFonts w:ascii="Times New Roman" w:cs="Times New Roman" w:eastAsia="Times New Roman" w:hAnsi="Times New Roman"/>
          <w:b w:val="false"/>
          <w:bCs w:val="false"/>
          <w:i w:val="false"/>
          <w:iCs w:val="false"/>
          <w:sz w:val="24"/>
          <w:szCs w:val="24"/>
        </w:rPr>
        <w:t xml:space="preserve">Hlavná 1, 811 01 Bratislava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Spoločnosť sa zakladá na dobu neurčitú.</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podnikania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Predmetom podnikania spoločnosti je:</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Poradenská činnosť v rozsahu voľnej živnosti</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Základné imanie a vklady spoločníkov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Základné imanie spoločnosti je </w:t>
      </w:r>
      <w:r>
        <w:rPr>
          <w:rFonts w:ascii="Times New Roman" w:cs="Times New Roman" w:eastAsia="Times New Roman" w:hAnsi="Times New Roman"/>
          <w:b/>
          <w:bCs/>
          <w:i w:val="false"/>
          <w:iCs w:val="false"/>
          <w:sz w:val="24"/>
          <w:szCs w:val="24"/>
        </w:rPr>
        <w:t xml:space="preserve">5 000 €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rPr>
        <w:t xml:space="preserve">päťtisíc eur</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Spoločníci sa zaväzujú vložiť do spoločnosti peňažné vklady v tejto výške; obchodný podiel každého spoločníka sa určuje pomerom jeho vkladu k základnému imaniu:</w:t>
      </w:r>
    </w:p>
    <w:tbl>
      <w:tblPr>
        <w:tblW w:type="dxa" w:w="9070"/>
        <w:tblBorders>
          <w:top w:val="single" w:color="808080" w:sz="4"/>
          <w:left w:val="single" w:color="808080" w:sz="4"/>
          <w:bottom w:val="single" w:color="808080" w:sz="4"/>
          <w:right w:val="single" w:color="808080" w:sz="4"/>
          <w:insideH w:val="single" w:color="808080" w:sz="4"/>
          <w:insideV w:val="single" w:color="808080" w:sz="4"/>
        </w:tblBorders>
      </w:tblPr>
      <w:tblGrid>
        <w:gridCol w:w="5038"/>
        <w:gridCol w:w="2015"/>
        <w:gridCol w:w="2017"/>
      </w:tblGrid>
      <w:tr>
        <w:trPr>
          <w:tblHeader/>
        </w:trPr>
        <w:tc>
          <w:tcPr>
            <w:tcW w:type="dxa" w:w="5038"/>
            <w:shd w:fill="EDEDED" w:color="auto" w:val="clear"/>
            <w:tcMar>
              <w:top w:type="dxa" w:w="60"/>
              <w:left w:type="dxa" w:w="100"/>
              <w:bottom w:type="dxa" w:w="60"/>
              <w:right w:type="dxa" w:w="100"/>
            </w:tcMar>
          </w:tcPr>
          <w:p>
            <w:pPr>
              <w:keepNext w:val="false"/>
              <w:keepLines w:val="false"/>
              <w:spacing w:after="0" w:before="0" w:line="276"/>
              <w:jc w:val="left"/>
            </w:pPr>
            <w:r>
              <w:rPr>
                <w:rFonts w:ascii="Times New Roman" w:cs="Times New Roman" w:eastAsia="Times New Roman" w:hAnsi="Times New Roman"/>
                <w:b/>
                <w:bCs/>
                <w:i w:val="false"/>
                <w:iCs w:val="false"/>
                <w:sz w:val="22"/>
                <w:szCs w:val="22"/>
              </w:rPr>
              <w:t xml:space="preserve">Spoločník</w:t>
            </w:r>
          </w:p>
        </w:tc>
        <w:tc>
          <w:tcPr>
            <w:tcW w:type="dxa" w:w="2015"/>
            <w:shd w:fill="EDEDED" w:color="auto" w:val="clear"/>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bCs/>
                <w:i w:val="false"/>
                <w:iCs w:val="false"/>
                <w:sz w:val="22"/>
                <w:szCs w:val="22"/>
              </w:rPr>
              <w:t xml:space="preserve">Vklad</w:t>
            </w:r>
          </w:p>
        </w:tc>
        <w:tc>
          <w:tcPr>
            <w:tcW w:type="dxa" w:w="2017"/>
            <w:shd w:fill="EDEDED" w:color="auto" w:val="clear"/>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bCs/>
                <w:i w:val="false"/>
                <w:iCs w:val="false"/>
                <w:sz w:val="22"/>
                <w:szCs w:val="22"/>
              </w:rPr>
              <w:t xml:space="preserve">Obchodný podiel</w:t>
            </w:r>
          </w:p>
        </w:tc>
      </w:tr>
      <w:tr>
        <w:trPr>
          <w:cantSplit/>
        </w:trPr>
        <w:tc>
          <w:tcPr>
            <w:tcW w:type="dxa" w:w="5038"/>
            <w:tcMar>
              <w:top w:type="dxa" w:w="60"/>
              <w:left w:type="dxa" w:w="100"/>
              <w:bottom w:type="dxa" w:w="60"/>
              <w:right w:type="dxa" w:w="100"/>
            </w:tcMar>
          </w:tcPr>
          <w:p>
            <w:pPr>
              <w:keepNext w:val="false"/>
              <w:keepLines w:val="false"/>
              <w:spacing w:after="0" w:before="0" w:line="276"/>
              <w:jc w:val="left"/>
            </w:pPr>
            <w:r>
              <w:rPr>
                <w:rFonts w:ascii="Times New Roman" w:cs="Times New Roman" w:eastAsia="Times New Roman" w:hAnsi="Times New Roman"/>
                <w:b w:val="false"/>
                <w:bCs w:val="false"/>
                <w:i w:val="false"/>
                <w:iCs w:val="false"/>
                <w:sz w:val="22"/>
                <w:szCs w:val="22"/>
              </w:rPr>
              <w:t xml:space="preserve">Ján Novák</w:t>
            </w:r>
          </w:p>
        </w:tc>
        <w:tc>
          <w:tcPr>
            <w:tcW w:type="dxa" w:w="2015"/>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rPr>
              <w:t xml:space="preserve">2 500 €</w:t>
            </w:r>
          </w:p>
        </w:tc>
        <w:tc>
          <w:tcPr>
            <w:tcW w:type="dxa" w:w="2017"/>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rPr>
              <w:t xml:space="preserve">50</w:t>
            </w:r>
            <w:r>
              <w:rPr>
                <w:rFonts w:ascii="Times New Roman" w:cs="Times New Roman" w:eastAsia="Times New Roman" w:hAnsi="Times New Roman"/>
                <w:b w:val="false"/>
                <w:bCs w:val="false"/>
                <w:i w:val="false"/>
                <w:iCs w:val="false"/>
                <w:sz w:val="22"/>
                <w:szCs w:val="22"/>
              </w:rPr>
              <w:t xml:space="preserve"> %</w:t>
            </w:r>
          </w:p>
        </w:tc>
      </w:tr>
      <w:tr>
        <w:trPr>
          <w:cantSplit/>
        </w:trPr>
        <w:tc>
          <w:tcPr>
            <w:tcW w:type="dxa" w:w="5038"/>
            <w:tcMar>
              <w:top w:type="dxa" w:w="60"/>
              <w:left w:type="dxa" w:w="100"/>
              <w:bottom w:type="dxa" w:w="60"/>
              <w:right w:type="dxa" w:w="100"/>
            </w:tcMar>
          </w:tcPr>
          <w:p>
            <w:pPr>
              <w:keepNext w:val="false"/>
              <w:keepLines w:val="false"/>
              <w:spacing w:after="0" w:before="0" w:line="276"/>
              <w:jc w:val="left"/>
            </w:pPr>
            <w:r>
              <w:rPr>
                <w:rFonts w:ascii="Times New Roman" w:cs="Times New Roman" w:eastAsia="Times New Roman" w:hAnsi="Times New Roman"/>
                <w:b w:val="false"/>
                <w:bCs w:val="false"/>
                <w:i w:val="false"/>
                <w:iCs w:val="false"/>
                <w:sz w:val="22"/>
                <w:szCs w:val="22"/>
              </w:rPr>
              <w:t xml:space="preserve">Peter Kováč</w:t>
            </w:r>
          </w:p>
        </w:tc>
        <w:tc>
          <w:tcPr>
            <w:tcW w:type="dxa" w:w="2015"/>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rPr>
              <w:t xml:space="preserve">2 500 €</w:t>
            </w:r>
          </w:p>
        </w:tc>
        <w:tc>
          <w:tcPr>
            <w:tcW w:type="dxa" w:w="2017"/>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rPr>
              <w:t xml:space="preserve">50</w:t>
            </w:r>
            <w:r>
              <w:rPr>
                <w:rFonts w:ascii="Times New Roman" w:cs="Times New Roman" w:eastAsia="Times New Roman" w:hAnsi="Times New Roman"/>
                <w:b w:val="false"/>
                <w:bCs w:val="false"/>
                <w:i w:val="false"/>
                <w:iCs w:val="false"/>
                <w:sz w:val="22"/>
                <w:szCs w:val="22"/>
              </w:rPr>
              <w:t xml:space="preserve"> %</w:t>
            </w:r>
          </w:p>
        </w:tc>
      </w:tr>
      <w:tr>
        <w:tc>
          <w:tcPr>
            <w:tcW w:type="dxa" w:w="7053"/>
            <w:gridSpan w:val="2"/>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bCs/>
                <w:i w:val="false"/>
                <w:iCs w:val="false"/>
                <w:sz w:val="22"/>
                <w:szCs w:val="22"/>
              </w:rPr>
              <w:t xml:space="preserve">Spolu</w:t>
            </w:r>
          </w:p>
        </w:tc>
        <w:tc>
          <w:tcPr>
            <w:tcW w:type="dxa" w:w="2017"/>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bCs/>
                <w:i w:val="false"/>
                <w:iCs w:val="false"/>
                <w:sz w:val="22"/>
                <w:szCs w:val="22"/>
              </w:rPr>
              <w:t xml:space="preserve">5 000 €</w:t>
            </w:r>
          </w:p>
        </w:tc>
      </w:tr>
    </w:tbl>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Každý spoločník splatí svoj vklad v plnej výške k rukám správcu vkladu pred podaním návrhu na zápis spoločnosti do obchodného registra.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Správcom vkladu je spoločník </w:t>
      </w:r>
      <w:r>
        <w:rPr>
          <w:rFonts w:ascii="Times New Roman" w:cs="Times New Roman" w:eastAsia="Times New Roman" w:hAnsi="Times New Roman"/>
          <w:b w:val="false"/>
          <w:bCs w:val="false"/>
          <w:i w:val="false"/>
          <w:iCs w:val="false"/>
          <w:sz w:val="24"/>
          <w:szCs w:val="24"/>
        </w:rPr>
        <w:t xml:space="preserve">Ján Novák</w:t>
      </w:r>
      <w:r>
        <w:rPr>
          <w:rFonts w:ascii="Times New Roman" w:cs="Times New Roman" w:eastAsia="Times New Roman" w:hAnsi="Times New Roman"/>
          <w:b w:val="false"/>
          <w:bCs w:val="false"/>
          <w:i w:val="false"/>
          <w:iCs w:val="false"/>
          <w:sz w:val="24"/>
          <w:szCs w:val="24"/>
        </w:rPr>
        <w:t xml:space="preserve">, ktorý spravuje časti vkladov splatené pred vznikom spoločnosti a vydá písomné vyhlásenie o ich splatení na účely návrhu na zápis spoločnosti do obchodného registra.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Vlastnícke právo k splateným vkladom prechádza na spoločnosť dňom jej vzniku; správca vkladu ich odovzdá spoločnosti bez zbytočného odkladu po jej vzniku.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Valné zhromaždenie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Valné zhromaždenie je najvyšším orgánom spoločnosti. Do jeho pôsobnosti patria záležitosti uvedené v § 125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Valné zhromaždenie zvolávajú konatelia najmenej raz za rok. Termín, miesto a program valného zhromaždenia oznámia spoločníkom najmenej 15 dní pred jeho konaním písomnou pozvánkou zaslanou na adresu uvedenú v zozname spoločníkov.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Spoločník sa zúčastňuje valného zhromaždenia osobne alebo v zastúpení splnomocnencom na základe písomného plnomocenstva. Splnomocnencom nesmie byť konateľ.</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Počet hlasov každého spoločníka sa určuje pomerom hodnoty jeho vkladu k výške základného imania; na každé celé 1 euro vkladu pripadá jeden hlas.</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Valné zhromaždenie je schopné uznášať sa, ak sú prítomní spoločníci, ktorí majú aspoň polovicu všetkých hlasov. Rozhoduje prostou väčšinou hlasov prítomných spoločníkov, ak zákon alebo táto zmluva nevyžaduje vyšší počet hlasov.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Na rozhodnutie o schválení konaní urobených v mene spoločnosti pred jej vznikom, o schválení stanov, o zmene tejto zmluvy a o zvýšení alebo znížení základného imania alebo o nepeňažnom vklade je potrebný súhlas aspoň dvojtretinovej väčšiny všetkých hlasov spoločníkov.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Valné zhromaždenie je oprávnené rozhodovať o zmene tejto zmluvy. Na zmenu, ktorou sa rozširujú povinnosti spoločníkov alebo obmedzujú ich práva, sa vyžaduje súhlas všetkých spoločníkov, ktorých sa zmena týka.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val="false"/>
          <w:iCs w:val="false"/>
          <w:sz w:val="24"/>
          <w:szCs w:val="24"/>
        </w:rPr>
        <w:t xml:space="preserve">Spoločníci môžu prijímať rozhodnutia aj mimo valného zhromaždenia postupom podľa § 130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val="false"/>
          <w:iCs w:val="false"/>
          <w:sz w:val="24"/>
          <w:szCs w:val="24"/>
        </w:rPr>
        <w:t xml:space="preserve">O priebehu valného zhromaždenia sa vyhotovuje zápisnica podľa § 127a Obchodného zákonníka, ktorú podpisuje predseda valného zhromaždenia a zapisovateľ. V prípadoch ustanovených zákonom musí byť podpis predsedu úradne osvedčený alebo priebeh valného zhromaždenia osvedčený notárskou zápisnicou.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Konatelia a spôsob konania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Štatutárnym orgánom spoločnosti je jeden alebo viac konateľov. Konateľov vymenúva a odvoláva valné zhromaždenie z radov spoločníkov alebo iných fyzických osôb.</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Prvým konateľom spoločnosti je:</w:t>
      </w:r>
    </w:p>
    <w:p>
      <w:pPr>
        <w:keepNext w:val="false"/>
        <w:keepLines w:val="false"/>
        <w:spacing w:after="120" w:before="0" w:line="276"/>
        <w:ind w:left="567"/>
        <w:jc w:val="both"/>
      </w:pPr>
      <w:r>
        <w:rPr>
          <w:rFonts w:ascii="Times New Roman" w:cs="Times New Roman" w:eastAsia="Times New Roman" w:hAnsi="Times New Roman"/>
          <w:b/>
          <w:bCs/>
          <w:i w:val="false"/>
          <w:iCs w:val="false"/>
          <w:sz w:val="24"/>
          <w:szCs w:val="24"/>
        </w:rPr>
        <w:t xml:space="preserve">Ján Novák</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rPr>
        <w:t xml:space="preserve">12. 3. 1980</w:t>
      </w:r>
      <w:r>
        <w:rPr>
          <w:rFonts w:ascii="Times New Roman" w:cs="Times New Roman" w:eastAsia="Times New Roman" w:hAnsi="Times New Roman"/>
          <w:b w:val="false"/>
          <w:bCs w:val="false"/>
          <w:i w:val="false"/>
          <w:iCs w:val="false"/>
          <w:sz w:val="24"/>
          <w:szCs w:val="24"/>
        </w:rPr>
        <w:t xml:space="preserve">, rodné číslo: </w:t>
      </w:r>
      <w:r>
        <w:rPr>
          <w:rFonts w:ascii="Times New Roman" w:cs="Times New Roman" w:eastAsia="Times New Roman" w:hAnsi="Times New Roman"/>
          <w:b w:val="false"/>
          <w:bCs w:val="false"/>
          <w:i w:val="false"/>
          <w:iCs w:val="false"/>
          <w:sz w:val="24"/>
          <w:szCs w:val="24"/>
        </w:rPr>
        <w:t xml:space="preserve">8003121005</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rPr>
        <w:t xml:space="preserve">Modelová 1, 811 01 Bratislava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Konateľ koná v mene spoločnosti samostatne. Ak má spoločnosť viac konateľov, koná v mene spoločnosti každý z nich samostatne.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Konateľ podpisuje za spoločnosť tak, že k napísanému alebo vytlačenému obchodnému menu spoločnosti pripojí svoje meno, priezvisko, označenie funkcie a svoj podpis.</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Konatelia vykonávajú svoju pôsobnosť s odbornou starostlivosťou a v súlade so záujmami spoločnosti a všetkých jej spoločníkov. Vzťahuje sa na nich zákaz konkurencie podľa § 136 ods. 1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Konatelia sú povinní zabezpečiť podanie návrhu na zápis spoločnosti do obchodného registra do 90 dní od jej založenia alebo od doručenia listiny, ktorou sa preukazuje živnostenské alebo iné podnikateľské oprávnenie. Osoby konajúce v mene spoločnosti pred jej vznikom sú z tohto konania zaviazané spoločne a nerozdielne. Spoločnosť môže prevziať záväzky súvisiace so svojím vznikom a za podmienok § 64 ods. 2 Obchodného zákonníka aj ďalšie záväzky; ak príslušné konanie valné zhromaždenie schváli do troch mesiacov od vzniku spoločnosti, je ním spoločnosť zaviazaná od počiatku (§ 64 ods. 1 a 2).</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Spoločnosť nezriaďuje dozornú radu.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Obchodný podiel</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Každý spoločník môže mať iba jeden obchodný podiel. Spoločnosť vedie zoznam spoločníkov.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Spoločník môže previesť svoj obchodný podiel na iného spoločníka alebo na tretiu osobu len so súhlasom valného zhromaždenia.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Zmluva o prevode obchodného podielu musí byť vyhotovená vo forme notárskej zápisnice alebo vo forme zmluvy autorizovanej advokátom. Nadobúdateľ, ktorý nie je spoločníkom, v nej vyhlási, že pristupuje k tejto zmluve. Prevodca ručí za splácanie vkladu nadobúdateľom.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Obchodný podiel sa dedí. Zánikom spoločníka – právnickej osoby prechádza obchodný podiel na jej právneho nástupcu.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Zisk, straty a rezervný fond</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Spoločníci majú nárok na podiel na zisku, ktorý valné zhromaždenie určilo na rozdelenie, v pomere zodpovedajúcom ich splateným vkladom. Podiel na zisku možno vyplatiť len po doplnení rezervného fondu a za podmienok § 123 ods. 2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Spoločnosť pri svojom vzniku rezervný fond nevytvára. Rezervný fond vytvorí z čistého zisku vykázaného v riadnej individuálnej účtovnej závierke za rok, v ktorom sa zisk po prvý raz vytvorí, vo výške 5 % z čistého zisku, nie však viac ako 10 % základného imania, a každoročne ho bude dopĺňať o 5 % z čistého zisku až do dosiahnutia výšky 10 % základného imania.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IX</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Zánik účasti spoločníka a zrušenie spoločnosti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Spoločník nemôže zo spoločnosti vystúpiť. Môže navrhnúť, aby súd zrušil jeho účasť v spoločnosti, ak od neho nemožno spravodlivo požadovať, aby v spoločnosti zotrval.</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Spoločníka, ktorý nesplatí vklad ani v dodatočnej lehote alebo ktorý závažným spôsobom porušuje svoje povinnosti, možno vylúčiť zo spoločnosti postupom podľa § 113 a § 149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Spoločníkovi, ktorého účasť zanikla za trvania spoločnosti, vzniká právo na vyrovnací podiel určený podľa § 61 ods. 2 a 3 a § 150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Spoločnosť sa zrušuje z dôvodov ustanovených zákonom. Valné zhromaždenie je oprávnené rozhodnúť o zrušení spoločnosti alebo o zmene jej právnej formy.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X</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Založenie spoločnosti a 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Osobám podieľajúcim sa na založení spoločnosti alebo na činnostiach smerujúcich k nadobudnutiu oprávnenia na jej činnosť sa neposkytujú žiadne výhody.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Predpokladané náklady spoločnosti súvisiace s jej založením a vznikom sú </w:t>
      </w:r>
      <w:r>
        <w:rPr>
          <w:rFonts w:ascii="Times New Roman" w:cs="Times New Roman" w:eastAsia="Times New Roman" w:hAnsi="Times New Roman"/>
          <w:b w:val="false"/>
          <w:bCs w:val="false"/>
          <w:i w:val="false"/>
          <w:iCs w:val="false"/>
          <w:sz w:val="24"/>
          <w:szCs w:val="24"/>
        </w:rPr>
        <w:t xml:space="preserve">500 €</w:t>
      </w:r>
      <w:r>
        <w:rPr>
          <w:rFonts w:ascii="Times New Roman" w:cs="Times New Roman" w:eastAsia="Times New Roman" w:hAnsi="Times New Roman"/>
          <w:b w:val="false"/>
          <w:bCs w:val="false"/>
          <w:i w:val="false"/>
          <w:iCs w:val="false"/>
          <w:sz w:val="24"/>
          <w:szCs w:val="24"/>
        </w:rPr>
        <w:t xml:space="preserve">. Tieto náklady znáša spoločnosť.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Spoločnosť vzniká dňom jej zápisu do obchodného registra.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Právne vzťahy neupravené touto zmluvou sa spravujú Obchodným zákonníkom.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Táto zmluva sa vyhotovuje vo forme </w:t>
      </w:r>
      <w:r>
        <w:rPr>
          <w:rFonts w:ascii="Times New Roman" w:cs="Times New Roman" w:eastAsia="Times New Roman" w:hAnsi="Times New Roman"/>
          <w:b w:val="false"/>
          <w:bCs w:val="false"/>
          <w:i w:val="false"/>
          <w:iCs w:val="false"/>
          <w:sz w:val="24"/>
          <w:szCs w:val="24"/>
        </w:rPr>
        <w:t xml:space="preserve">notárskej zápisnice</w:t>
      </w:r>
      <w:r>
        <w:rPr>
          <w:rFonts w:ascii="Times New Roman" w:cs="Times New Roman" w:eastAsia="Times New Roman" w:hAnsi="Times New Roman"/>
          <w:b w:val="false"/>
          <w:bCs w:val="false"/>
          <w:i w:val="false"/>
          <w:iCs w:val="false"/>
          <w:sz w:val="24"/>
          <w:szCs w:val="24"/>
        </w:rPr>
        <w:t xml:space="preserve"> podľa § 57 ods. 1 Obchodného zákonníka a nadobúda platnosť a účinnosť dňom, keď ju podpíšu všetci spoločníci.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Spoločníci vyhlasujú, že si zmluvu prečítali, jej obsahu porozumeli a na znak súhlasu ju slobodne a vážne podpisujú.</w:t>
      </w:r>
    </w:p>
    <w:p>
      <w:pPr>
        <w:keepNext/>
        <w:keepLines w:val="false"/>
        <w:spacing w:after="120" w:before="0" w:line="276"/>
        <w:jc w:val="left"/>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Bratislave</w:t>
      </w:r>
      <w:r>
        <w:rPr>
          <w:rFonts w:ascii="Times New Roman" w:cs="Times New Roman" w:eastAsia="Times New Roman" w:hAnsi="Times New Roman"/>
          <w:b w:val="false"/>
          <w:bCs w:val="false"/>
          <w:i w:val="false"/>
          <w:iCs w:val="false"/>
          <w:sz w:val="24"/>
          <w:szCs w:val="24"/>
        </w:rPr>
        <w:t xml:space="preserve">, dňa </w:t>
      </w:r>
      <w:r>
        <w:rPr>
          <w:rFonts w:ascii="Times New Roman" w:cs="Times New Roman" w:eastAsia="Times New Roman" w:hAnsi="Times New Roman"/>
          <w:b w:val="false"/>
          <w:bCs w:val="false"/>
          <w:i w:val="false"/>
          <w:iCs w:val="false"/>
          <w:sz w:val="24"/>
          <w:szCs w:val="24"/>
        </w:rPr>
        <w:t xml:space="preserve">5. 10. 2026</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Spoločník 1</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Ján Novák</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0"/>
                <w:szCs w:val="20"/>
              </w:rPr>
              <w:t xml:space="preserve">(podpis v rámci notárskej zápisnice alebo dokumentu autorizovaného advokátom)</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Spoločník 2</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Peter Kováč</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0"/>
                <w:szCs w:val="20"/>
              </w:rPr>
              <w:t xml:space="preserve">(podpis v rámci notárskej zápisnice alebo dokumentu autorizovaného advokátom)</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Ďalšie právne vzory a tlačivá nájdete na </w:t>
    </w:r>
    <w:hyperlink w:history="1" r:id="rIdxj6lh5ciafshadazwhl9a">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6lh5ciafshadazwhl9a" Type="http://schemas.openxmlformats.org/officeDocument/2006/relationships/hyperlink" Target="https://pravnevzory.sk/?utm_source=document&amp;utm_medium=docx&amp;utm_campaign=template_footer&amp;utm_content=spolocenska-zmluva"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Spoločenská zmluva</dc:title>
  <dc:creator>Vzory a tlačivá (pravnevzory.sk)</dc:creator>
  <dc:description>Spoločenská zmluva</dc:description>
  <cp:lastModifiedBy>Un-named</cp:lastModifiedBy>
  <cp:revision>1</cp:revision>
  <dcterms:created xsi:type="dcterms:W3CDTF">2026-10-05T17:20:51.575Z</dcterms:created>
  <dcterms:modified xsi:type="dcterms:W3CDTF">2026-10-05T17:20:51.575Z</dcterms:modified>
</cp:coreProperties>
</file>

<file path=docProps/custom.xml><?xml version="1.0" encoding="utf-8"?>
<Properties xmlns="http://schemas.openxmlformats.org/officeDocument/2006/custom-properties" xmlns:vt="http://schemas.openxmlformats.org/officeDocument/2006/docPropsVTypes"/>
</file>